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76DE" w14:textId="77777777" w:rsidR="004E623C" w:rsidRPr="00340D7A" w:rsidRDefault="004E623C" w:rsidP="00340D7A">
      <w:pPr>
        <w:bidi/>
        <w:rPr>
          <w:rFonts w:asciiTheme="majorBidi" w:hAnsiTheme="majorBidi" w:cstheme="majorBidi"/>
          <w:color w:val="215E99" w:themeColor="text2" w:themeTint="BF"/>
          <w:sz w:val="28"/>
          <w:szCs w:val="28"/>
        </w:rPr>
      </w:pPr>
    </w:p>
    <w:p w14:paraId="581ED85D" w14:textId="47687479" w:rsidR="00340D7A" w:rsidRPr="00340D7A" w:rsidRDefault="00340D7A" w:rsidP="00340D7A">
      <w:pPr>
        <w:bidi/>
        <w:rPr>
          <w:rFonts w:asciiTheme="majorBidi" w:hAnsiTheme="majorBidi" w:cstheme="majorBidi"/>
          <w:b/>
          <w:bCs/>
          <w:color w:val="215E99" w:themeColor="text2" w:themeTint="BF"/>
          <w:sz w:val="44"/>
          <w:szCs w:val="44"/>
        </w:rPr>
      </w:pPr>
      <w:r w:rsidRPr="00340D7A">
        <w:rPr>
          <w:rFonts w:asciiTheme="majorBidi" w:hAnsiTheme="majorBidi" w:cstheme="majorBidi"/>
          <w:b/>
          <w:bCs/>
          <w:color w:val="215E99" w:themeColor="text2" w:themeTint="BF"/>
          <w:sz w:val="44"/>
          <w:szCs w:val="44"/>
          <w:rtl/>
        </w:rPr>
        <w:t>هل يُنسب الشر إلى الله</w:t>
      </w:r>
      <w:r w:rsidR="00C83B12" w:rsidRPr="00C83B12">
        <w:rPr>
          <w:rFonts w:asciiTheme="majorBidi" w:hAnsiTheme="majorBidi" w:cstheme="majorBidi"/>
          <w:color w:val="215E99" w:themeColor="text2" w:themeTint="BF"/>
          <w:sz w:val="44"/>
          <w:szCs w:val="44"/>
        </w:rPr>
        <w:t>….</w:t>
      </w:r>
      <w:r w:rsidR="00C83B12">
        <w:rPr>
          <w:rFonts w:asciiTheme="majorBidi" w:hAnsiTheme="majorBidi" w:cstheme="majorBidi"/>
          <w:b/>
          <w:bCs/>
          <w:color w:val="215E99" w:themeColor="text2" w:themeTint="BF"/>
          <w:sz w:val="44"/>
          <w:szCs w:val="44"/>
        </w:rPr>
        <w:t xml:space="preserve"> </w:t>
      </w:r>
      <w:r w:rsidRPr="00340D7A">
        <w:rPr>
          <w:rFonts w:asciiTheme="majorBidi" w:hAnsiTheme="majorBidi" w:cstheme="majorBidi"/>
          <w:b/>
          <w:bCs/>
          <w:color w:val="215E99" w:themeColor="text2" w:themeTint="BF"/>
          <w:sz w:val="44"/>
          <w:szCs w:val="44"/>
          <w:rtl/>
        </w:rPr>
        <w:t>؟</w:t>
      </w:r>
      <w:r w:rsidR="00C83B12" w:rsidRPr="00340D7A">
        <w:rPr>
          <w:rFonts w:asciiTheme="majorBidi" w:hAnsiTheme="majorBidi" w:cstheme="majorBidi"/>
          <w:b/>
          <w:bCs/>
          <w:color w:val="215E99" w:themeColor="text2" w:themeTint="BF"/>
          <w:sz w:val="44"/>
          <w:szCs w:val="44"/>
          <w:rtl/>
        </w:rPr>
        <w:t>؟؟؟</w:t>
      </w:r>
    </w:p>
    <w:p w14:paraId="325F5110" w14:textId="7BD75313" w:rsidR="00340D7A" w:rsidRPr="00340D7A" w:rsidRDefault="00340D7A" w:rsidP="00340D7A">
      <w:pPr>
        <w:bidi/>
        <w:rPr>
          <w:rFonts w:asciiTheme="majorBidi" w:hAnsiTheme="majorBidi" w:cstheme="majorBidi"/>
          <w:b/>
          <w:bCs/>
          <w:color w:val="000000" w:themeColor="text1"/>
          <w:sz w:val="28"/>
          <w:szCs w:val="28"/>
        </w:rPr>
      </w:pPr>
      <w:r w:rsidRPr="00340D7A">
        <w:rPr>
          <w:rFonts w:asciiTheme="majorBidi" w:hAnsiTheme="majorBidi" w:cstheme="majorBidi"/>
          <w:b/>
          <w:bCs/>
          <w:color w:val="000000" w:themeColor="text1"/>
          <w:sz w:val="28"/>
          <w:szCs w:val="28"/>
          <w:rtl/>
        </w:rPr>
        <w:t>العلم الذي يعلّمك أين تقف</w:t>
      </w:r>
      <w:r w:rsidRPr="00340D7A">
        <w:rPr>
          <w:rFonts w:asciiTheme="majorBidi" w:hAnsiTheme="majorBidi" w:cstheme="majorBidi"/>
          <w:b/>
          <w:bCs/>
          <w:color w:val="000000" w:themeColor="text1"/>
          <w:sz w:val="28"/>
          <w:szCs w:val="28"/>
        </w:rPr>
        <w:br/>
      </w:r>
      <w:r w:rsidR="00961A6C" w:rsidRPr="00961A6C">
        <w:rPr>
          <w:rFonts w:asciiTheme="majorBidi" w:hAnsiTheme="majorBidi" w:cstheme="majorBidi"/>
          <w:b/>
          <w:bCs/>
          <w:color w:val="000000" w:themeColor="text1"/>
          <w:sz w:val="28"/>
          <w:szCs w:val="28"/>
        </w:rPr>
        <w:t xml:space="preserve"> </w:t>
      </w:r>
      <w:r w:rsidR="00961A6C" w:rsidRPr="00340D7A">
        <w:rPr>
          <w:rFonts w:asciiTheme="majorBidi" w:hAnsiTheme="majorBidi" w:cstheme="majorBidi"/>
          <w:b/>
          <w:bCs/>
          <w:color w:val="000000" w:themeColor="text1"/>
          <w:sz w:val="28"/>
          <w:szCs w:val="28"/>
          <w:rtl/>
        </w:rPr>
        <w:t>و</w:t>
      </w:r>
      <w:r w:rsidRPr="00340D7A">
        <w:rPr>
          <w:rFonts w:asciiTheme="majorBidi" w:hAnsiTheme="majorBidi" w:cstheme="majorBidi"/>
          <w:b/>
          <w:bCs/>
          <w:color w:val="000000" w:themeColor="text1"/>
          <w:sz w:val="28"/>
          <w:szCs w:val="28"/>
          <w:rtl/>
        </w:rPr>
        <w:t>يضع العقل في موضعه الصحيح أمام الله</w:t>
      </w:r>
    </w:p>
    <w:p w14:paraId="0DB58E29" w14:textId="736268E8"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 xml:space="preserve">هذه المسألة من أدقّ مسائل العقيدة، ويختلّ فيها الميزان إذا لم تُضبط بأصولها؛ فالمقرّر عند أهل السنة أن </w:t>
      </w:r>
      <w:r w:rsidRPr="00614BF8">
        <w:rPr>
          <w:rFonts w:asciiTheme="majorBidi" w:hAnsiTheme="majorBidi" w:cstheme="majorBidi"/>
          <w:color w:val="215E99" w:themeColor="text2" w:themeTint="BF"/>
          <w:sz w:val="28"/>
          <w:szCs w:val="28"/>
          <w:rtl/>
        </w:rPr>
        <w:t>كل ما يقع في الكون فهو بقضاء الله وقدره وخلقه، لا يخرج شيء عن مشيئته ولا عن علمه</w:t>
      </w:r>
      <w:r w:rsidRPr="004B1A08">
        <w:rPr>
          <w:rFonts w:asciiTheme="majorBidi" w:hAnsiTheme="majorBidi" w:cstheme="majorBidi"/>
          <w:sz w:val="28"/>
          <w:szCs w:val="28"/>
          <w:rtl/>
        </w:rPr>
        <w:t>. غير أن هذا الأصل لا يعني بحالٍ أن يُنسب الشر إلى الله اسمًا أو وصفًا، لأن الله سبحانه كاملٌ في أسمائه وصفاته وأفعاله، منـزَّه عن الظلم والعبث والنقص، وكل ما يصدر عنه فهو عدلٌ وحكمة</w:t>
      </w:r>
      <w:r w:rsidRPr="004B1A08">
        <w:rPr>
          <w:rFonts w:asciiTheme="majorBidi" w:hAnsiTheme="majorBidi" w:cstheme="majorBidi"/>
          <w:sz w:val="28"/>
          <w:szCs w:val="28"/>
        </w:rPr>
        <w:t>.</w:t>
      </w:r>
    </w:p>
    <w:p w14:paraId="62F69D31" w14:textId="77777777" w:rsidR="00502D5C" w:rsidRPr="004B1A08" w:rsidRDefault="00502D5C" w:rsidP="00502D5C">
      <w:pPr>
        <w:pStyle w:val="ListParagraph"/>
        <w:bidi/>
        <w:rPr>
          <w:rFonts w:asciiTheme="majorBidi" w:hAnsiTheme="majorBidi" w:cstheme="majorBidi"/>
          <w:sz w:val="28"/>
          <w:szCs w:val="28"/>
        </w:rPr>
      </w:pPr>
    </w:p>
    <w:p w14:paraId="091B68FB" w14:textId="77777777"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ولهذا قرّر العلماء أن الشر لا يُضاف إلى الله مفردًا، وإنما يُذكر على وجه العموم أو يُنسب إلى سببه أو يُذكر دون إسناد مباشر؛ فالله خالق كل شيء، لكن ا</w:t>
      </w:r>
      <w:r w:rsidRPr="00886CBF">
        <w:rPr>
          <w:rFonts w:asciiTheme="majorBidi" w:hAnsiTheme="majorBidi" w:cstheme="majorBidi"/>
          <w:color w:val="215E99" w:themeColor="text2" w:themeTint="BF"/>
          <w:sz w:val="28"/>
          <w:szCs w:val="28"/>
          <w:rtl/>
        </w:rPr>
        <w:t>لشر المحض لا يدخل في أفعاله، وإنما يكون شرًّا باعتبار العبد ونظرِه الجزئي،</w:t>
      </w:r>
      <w:r w:rsidRPr="004B1A08">
        <w:rPr>
          <w:rFonts w:asciiTheme="majorBidi" w:hAnsiTheme="majorBidi" w:cstheme="majorBidi"/>
          <w:sz w:val="28"/>
          <w:szCs w:val="28"/>
          <w:rtl/>
        </w:rPr>
        <w:t xml:space="preserve"> لا باعتبار فعل الله وتدبيره المحيط. فما يراه الإنسان شرًّا قد يكون في حقيقته رحمةً في المآل، أو عدلًا، أو تربيةً، أو دفعًا لشرٍّ أعظم</w:t>
      </w:r>
      <w:r w:rsidRPr="004B1A08">
        <w:rPr>
          <w:rFonts w:asciiTheme="majorBidi" w:hAnsiTheme="majorBidi" w:cstheme="majorBidi"/>
          <w:sz w:val="28"/>
          <w:szCs w:val="28"/>
        </w:rPr>
        <w:t>.</w:t>
      </w:r>
    </w:p>
    <w:p w14:paraId="170FEB8C" w14:textId="77777777" w:rsidR="00502D5C" w:rsidRPr="00502D5C" w:rsidRDefault="00502D5C" w:rsidP="00502D5C">
      <w:pPr>
        <w:pStyle w:val="ListParagraph"/>
        <w:rPr>
          <w:rFonts w:asciiTheme="majorBidi" w:hAnsiTheme="majorBidi" w:cstheme="majorBidi" w:hint="cs"/>
          <w:sz w:val="28"/>
          <w:szCs w:val="28"/>
          <w:rtl/>
        </w:rPr>
      </w:pPr>
    </w:p>
    <w:p w14:paraId="7B970D7E" w14:textId="77777777"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 xml:space="preserve">ومن هنا نفهم الأدب النبوي في الدعاء: </w:t>
      </w:r>
      <w:r w:rsidRPr="00886CBF">
        <w:rPr>
          <w:rFonts w:asciiTheme="majorBidi" w:hAnsiTheme="majorBidi" w:cstheme="majorBidi"/>
          <w:b/>
          <w:bCs/>
          <w:color w:val="215E99" w:themeColor="text2" w:themeTint="BF"/>
          <w:sz w:val="28"/>
          <w:szCs w:val="28"/>
          <w:rtl/>
        </w:rPr>
        <w:t>«والشر ليس إليك»،</w:t>
      </w:r>
      <w:r w:rsidRPr="004B1A08">
        <w:rPr>
          <w:rFonts w:asciiTheme="majorBidi" w:hAnsiTheme="majorBidi" w:cstheme="majorBidi"/>
          <w:sz w:val="28"/>
          <w:szCs w:val="28"/>
          <w:rtl/>
        </w:rPr>
        <w:t xml:space="preserve"> فهو لا ينفي القضاء ولا القدر، وإنما ينفي نسبة الشر إلى الله على وجه الذمّ. ويؤكد هذا الميزانَ الأدبُ القرآني في الخطاب، كما في سورة الفاتحة؛ إذ نُسبت النعمة إلى الله تصريحًا: ﴿الَّذِينَ أَنْعَمْتَ عَلَيْهِمْ﴾، بينما ذُكر الغضب بأسلوب ألطف: ﴿غَيْرِ الْمَغْضُوبِ عَلَيْهِمْ﴾، تنزيهًا لله في اللفظ، مع إثبات العدل في المعنى</w:t>
      </w:r>
      <w:r w:rsidRPr="004B1A08">
        <w:rPr>
          <w:rFonts w:asciiTheme="majorBidi" w:hAnsiTheme="majorBidi" w:cstheme="majorBidi"/>
          <w:sz w:val="28"/>
          <w:szCs w:val="28"/>
        </w:rPr>
        <w:t>.</w:t>
      </w:r>
    </w:p>
    <w:p w14:paraId="5885072E" w14:textId="77777777" w:rsidR="00502D5C" w:rsidRPr="00502D5C" w:rsidRDefault="00502D5C" w:rsidP="00502D5C">
      <w:pPr>
        <w:pStyle w:val="ListParagraph"/>
        <w:rPr>
          <w:rFonts w:asciiTheme="majorBidi" w:hAnsiTheme="majorBidi" w:cstheme="majorBidi" w:hint="cs"/>
          <w:sz w:val="28"/>
          <w:szCs w:val="28"/>
          <w:rtl/>
        </w:rPr>
      </w:pPr>
    </w:p>
    <w:p w14:paraId="6CED9055" w14:textId="77777777"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وبهذا يلتئم الفهم: فالنعمة فضلٌ من الله، والعقوبة عدلٌ منه، والشر ليس مطلقًا ولا محضًا، بل نسبيٌّ إضافي، لا يُتخذ ذريعة للاعتراض على الله ولا لمخاصمة القدر. ومن الخطأ أن نُحاكم أقدار الله بمشاعرنا أو بتجربة جزئية، أو أن نطلب كشف الغيب، أو أن نُعيد تعريف صفات الله بسبب حادثة لم نفهم حكمتها</w:t>
      </w:r>
      <w:r w:rsidRPr="004B1A08">
        <w:rPr>
          <w:rFonts w:asciiTheme="majorBidi" w:hAnsiTheme="majorBidi" w:cstheme="majorBidi"/>
          <w:sz w:val="28"/>
          <w:szCs w:val="28"/>
        </w:rPr>
        <w:t>.</w:t>
      </w:r>
    </w:p>
    <w:p w14:paraId="02A5FE04" w14:textId="77777777" w:rsidR="00502D5C" w:rsidRPr="00502D5C" w:rsidRDefault="00502D5C" w:rsidP="00502D5C">
      <w:pPr>
        <w:pStyle w:val="ListParagraph"/>
        <w:rPr>
          <w:rFonts w:asciiTheme="majorBidi" w:hAnsiTheme="majorBidi" w:cstheme="majorBidi" w:hint="cs"/>
          <w:sz w:val="28"/>
          <w:szCs w:val="28"/>
          <w:rtl/>
        </w:rPr>
      </w:pPr>
    </w:p>
    <w:p w14:paraId="70C70CEE" w14:textId="77777777"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 xml:space="preserve">إن العقل أداة فهم لا أداة محاكمة، يُستعمل حتى حدوده ثم يقف؛ </w:t>
      </w:r>
      <w:r w:rsidRPr="00457414">
        <w:rPr>
          <w:rFonts w:asciiTheme="majorBidi" w:hAnsiTheme="majorBidi" w:cstheme="majorBidi"/>
          <w:color w:val="215E99" w:themeColor="text2" w:themeTint="BF"/>
          <w:sz w:val="28"/>
          <w:szCs w:val="28"/>
          <w:rtl/>
        </w:rPr>
        <w:t xml:space="preserve">لأن </w:t>
      </w:r>
      <w:r w:rsidRPr="00457414">
        <w:rPr>
          <w:rFonts w:asciiTheme="majorBidi" w:hAnsiTheme="majorBidi" w:cstheme="majorBidi"/>
          <w:b/>
          <w:bCs/>
          <w:color w:val="215E99" w:themeColor="text2" w:themeTint="BF"/>
          <w:sz w:val="28"/>
          <w:szCs w:val="28"/>
          <w:rtl/>
        </w:rPr>
        <w:t>العلم الحق لا يمنح وهم الإحاطة، بل يورث إدراكًا راشدًا بالحدود، وإدراكُ أنك لا تُدرك هو أوضح دلائل النضج والحكمة</w:t>
      </w:r>
      <w:r w:rsidRPr="004B1A08">
        <w:rPr>
          <w:rFonts w:asciiTheme="majorBidi" w:hAnsiTheme="majorBidi" w:cstheme="majorBidi"/>
          <w:sz w:val="28"/>
          <w:szCs w:val="28"/>
        </w:rPr>
        <w:t xml:space="preserve">. </w:t>
      </w:r>
      <w:r w:rsidRPr="004B1A08">
        <w:rPr>
          <w:rFonts w:asciiTheme="majorBidi" w:hAnsiTheme="majorBidi" w:cstheme="majorBidi"/>
          <w:sz w:val="28"/>
          <w:szCs w:val="28"/>
          <w:rtl/>
        </w:rPr>
        <w:t>فغاية العلم أن يعلّم الإنسان أين يتوقف، لا أن يورثه جرأةً على الله</w:t>
      </w:r>
      <w:r w:rsidRPr="004B1A08">
        <w:rPr>
          <w:rFonts w:asciiTheme="majorBidi" w:hAnsiTheme="majorBidi" w:cstheme="majorBidi"/>
          <w:sz w:val="28"/>
          <w:szCs w:val="28"/>
        </w:rPr>
        <w:t>.</w:t>
      </w:r>
    </w:p>
    <w:p w14:paraId="4FEBC185" w14:textId="77777777" w:rsidR="00502D5C" w:rsidRPr="00502D5C" w:rsidRDefault="00502D5C" w:rsidP="00502D5C">
      <w:pPr>
        <w:pStyle w:val="ListParagraph"/>
        <w:rPr>
          <w:rFonts w:asciiTheme="majorBidi" w:hAnsiTheme="majorBidi" w:cstheme="majorBidi" w:hint="cs"/>
          <w:sz w:val="28"/>
          <w:szCs w:val="28"/>
          <w:rtl/>
        </w:rPr>
      </w:pPr>
    </w:p>
    <w:p w14:paraId="1F47F0A3" w14:textId="77777777"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وهذا هو الدرس العميق الذي جسّدته قصة موسى والخضر؛ إذ بدا في ظاهر الأحداث ما يُستنكر، ثم انكشف عند البيان أنه رحمة وعدل وحفظٌ للمآلات. فالقصة لا تُفسّر القدر، لكنها تُعلّمنا كيف نقف أمامه: بإيمانٍ يسبق الفهم، وتسليمٍ يضبط العقل، وأدبٍ مع الله لا اعتراض فيه ولا سوء ظن</w:t>
      </w:r>
      <w:r w:rsidRPr="004B1A08">
        <w:rPr>
          <w:rFonts w:asciiTheme="majorBidi" w:hAnsiTheme="majorBidi" w:cstheme="majorBidi"/>
          <w:sz w:val="28"/>
          <w:szCs w:val="28"/>
        </w:rPr>
        <w:t>.</w:t>
      </w:r>
    </w:p>
    <w:p w14:paraId="06562381" w14:textId="77777777" w:rsidR="00502D5C" w:rsidRPr="00502D5C" w:rsidRDefault="00502D5C" w:rsidP="00502D5C">
      <w:pPr>
        <w:bidi/>
        <w:rPr>
          <w:rFonts w:asciiTheme="majorBidi" w:hAnsiTheme="majorBidi" w:cstheme="majorBidi"/>
          <w:sz w:val="28"/>
          <w:szCs w:val="28"/>
        </w:rPr>
      </w:pPr>
    </w:p>
    <w:p w14:paraId="25E75F87" w14:textId="77777777" w:rsidR="00340D7A" w:rsidRDefault="00340D7A" w:rsidP="004B1A08">
      <w:pPr>
        <w:pStyle w:val="ListParagraph"/>
        <w:numPr>
          <w:ilvl w:val="0"/>
          <w:numId w:val="3"/>
        </w:numPr>
        <w:bidi/>
        <w:rPr>
          <w:rFonts w:asciiTheme="majorBidi" w:hAnsiTheme="majorBidi" w:cstheme="majorBidi"/>
          <w:sz w:val="28"/>
          <w:szCs w:val="28"/>
        </w:rPr>
      </w:pPr>
      <w:r w:rsidRPr="004B1A08">
        <w:rPr>
          <w:rFonts w:asciiTheme="majorBidi" w:hAnsiTheme="majorBidi" w:cstheme="majorBidi"/>
          <w:sz w:val="28"/>
          <w:szCs w:val="28"/>
          <w:rtl/>
        </w:rPr>
        <w:t xml:space="preserve">ويكتمل هذا المعنى بقوله تعالى: </w:t>
      </w:r>
      <w:r w:rsidRPr="00457414">
        <w:rPr>
          <w:rFonts w:asciiTheme="majorBidi" w:hAnsiTheme="majorBidi" w:cstheme="majorBidi"/>
          <w:color w:val="215E99" w:themeColor="text2" w:themeTint="BF"/>
          <w:sz w:val="28"/>
          <w:szCs w:val="28"/>
          <w:rtl/>
        </w:rPr>
        <w:t>﴿لَنْ يُصِيبَنَا إِلَّا مَا كَتَبَ اللَّهُ لَنَا﴾</w:t>
      </w:r>
      <w:r w:rsidRPr="004B1A08">
        <w:rPr>
          <w:rFonts w:asciiTheme="majorBidi" w:hAnsiTheme="majorBidi" w:cstheme="majorBidi"/>
          <w:sz w:val="28"/>
          <w:szCs w:val="28"/>
          <w:rtl/>
        </w:rPr>
        <w:t xml:space="preserve">، </w:t>
      </w:r>
      <w:r w:rsidRPr="00457414">
        <w:rPr>
          <w:rFonts w:asciiTheme="majorBidi" w:hAnsiTheme="majorBidi" w:cstheme="majorBidi"/>
          <w:b/>
          <w:bCs/>
          <w:color w:val="215E99" w:themeColor="text2" w:themeTint="BF"/>
          <w:sz w:val="28"/>
          <w:szCs w:val="28"/>
          <w:rtl/>
        </w:rPr>
        <w:t xml:space="preserve">فلم يقل </w:t>
      </w:r>
      <w:r w:rsidRPr="00457414">
        <w:rPr>
          <w:rFonts w:asciiTheme="majorBidi" w:hAnsiTheme="majorBidi" w:cstheme="majorBidi"/>
          <w:b/>
          <w:bCs/>
          <w:i/>
          <w:iCs/>
          <w:color w:val="215E99" w:themeColor="text2" w:themeTint="BF"/>
          <w:sz w:val="28"/>
          <w:szCs w:val="28"/>
          <w:rtl/>
        </w:rPr>
        <w:t>علينا</w:t>
      </w:r>
      <w:r w:rsidRPr="00457414">
        <w:rPr>
          <w:rFonts w:asciiTheme="majorBidi" w:hAnsiTheme="majorBidi" w:cstheme="majorBidi"/>
          <w:b/>
          <w:bCs/>
          <w:color w:val="215E99" w:themeColor="text2" w:themeTint="BF"/>
          <w:sz w:val="28"/>
          <w:szCs w:val="28"/>
          <w:rtl/>
        </w:rPr>
        <w:t xml:space="preserve"> بل </w:t>
      </w:r>
      <w:r w:rsidRPr="00457414">
        <w:rPr>
          <w:rFonts w:asciiTheme="majorBidi" w:hAnsiTheme="majorBidi" w:cstheme="majorBidi"/>
          <w:b/>
          <w:bCs/>
          <w:i/>
          <w:iCs/>
          <w:color w:val="215E99" w:themeColor="text2" w:themeTint="BF"/>
          <w:sz w:val="28"/>
          <w:szCs w:val="28"/>
          <w:rtl/>
        </w:rPr>
        <w:t>لنا</w:t>
      </w:r>
      <w:r w:rsidRPr="00457414">
        <w:rPr>
          <w:rFonts w:asciiTheme="majorBidi" w:hAnsiTheme="majorBidi" w:cstheme="majorBidi"/>
          <w:b/>
          <w:bCs/>
          <w:color w:val="215E99" w:themeColor="text2" w:themeTint="BF"/>
          <w:sz w:val="28"/>
          <w:szCs w:val="28"/>
          <w:rtl/>
        </w:rPr>
        <w:t>،</w:t>
      </w:r>
      <w:r w:rsidRPr="00457414">
        <w:rPr>
          <w:rFonts w:asciiTheme="majorBidi" w:hAnsiTheme="majorBidi" w:cstheme="majorBidi"/>
          <w:color w:val="215E99" w:themeColor="text2" w:themeTint="BF"/>
          <w:sz w:val="28"/>
          <w:szCs w:val="28"/>
          <w:rtl/>
        </w:rPr>
        <w:t xml:space="preserve"> </w:t>
      </w:r>
      <w:r w:rsidRPr="004B1A08">
        <w:rPr>
          <w:rFonts w:asciiTheme="majorBidi" w:hAnsiTheme="majorBidi" w:cstheme="majorBidi"/>
          <w:sz w:val="28"/>
          <w:szCs w:val="28"/>
          <w:rtl/>
        </w:rPr>
        <w:t xml:space="preserve">إشارةً إلى أن ما يقدّره الله على عبده، وإن بدا مؤلمًا، فهو في حقيقته خيرٌ مدّخر أو رحمةٌ مستورة أو دفعٌ لشرٍّ </w:t>
      </w:r>
      <w:r w:rsidRPr="004B1A08">
        <w:rPr>
          <w:rFonts w:asciiTheme="majorBidi" w:hAnsiTheme="majorBidi" w:cstheme="majorBidi"/>
          <w:sz w:val="28"/>
          <w:szCs w:val="28"/>
          <w:rtl/>
        </w:rPr>
        <w:lastRenderedPageBreak/>
        <w:t>أعظم. ومن هنا نفهم أيضًا قوله تعالى: ﴿</w:t>
      </w:r>
      <w:r w:rsidRPr="00457414">
        <w:rPr>
          <w:rFonts w:asciiTheme="majorBidi" w:hAnsiTheme="majorBidi" w:cstheme="majorBidi"/>
          <w:color w:val="215E99" w:themeColor="text2" w:themeTint="BF"/>
          <w:sz w:val="28"/>
          <w:szCs w:val="28"/>
          <w:rtl/>
        </w:rPr>
        <w:t xml:space="preserve">لِكَيْلَا تَأْسَوْا عَلَىٰ مَا فَاتَكُمْ وَلَا تَفْرَحُوا بِمَا آتَاكُمْ﴾، </w:t>
      </w:r>
      <w:r w:rsidRPr="004B1A08">
        <w:rPr>
          <w:rFonts w:asciiTheme="majorBidi" w:hAnsiTheme="majorBidi" w:cstheme="majorBidi"/>
          <w:sz w:val="28"/>
          <w:szCs w:val="28"/>
          <w:rtl/>
        </w:rPr>
        <w:t>ليبقى القلب متوازنًا مع القدر، لا منكسرًا ولا متعاليًا</w:t>
      </w:r>
      <w:r w:rsidRPr="004B1A08">
        <w:rPr>
          <w:rFonts w:asciiTheme="majorBidi" w:hAnsiTheme="majorBidi" w:cstheme="majorBidi"/>
          <w:sz w:val="28"/>
          <w:szCs w:val="28"/>
        </w:rPr>
        <w:t>.</w:t>
      </w:r>
    </w:p>
    <w:p w14:paraId="6F1C495E" w14:textId="77777777" w:rsidR="004B1A08" w:rsidRDefault="004B1A08" w:rsidP="004B1A08">
      <w:pPr>
        <w:bidi/>
        <w:rPr>
          <w:rFonts w:asciiTheme="majorBidi" w:hAnsiTheme="majorBidi" w:cstheme="majorBidi"/>
          <w:sz w:val="28"/>
          <w:szCs w:val="28"/>
        </w:rPr>
      </w:pPr>
    </w:p>
    <w:p w14:paraId="796E409A" w14:textId="77777777" w:rsidR="004B1A08" w:rsidRPr="004B1A08" w:rsidRDefault="004B1A08" w:rsidP="004B1A08">
      <w:pPr>
        <w:bidi/>
        <w:rPr>
          <w:rFonts w:asciiTheme="majorBidi" w:hAnsiTheme="majorBidi" w:cstheme="majorBidi"/>
          <w:sz w:val="28"/>
          <w:szCs w:val="28"/>
        </w:rPr>
      </w:pPr>
    </w:p>
    <w:p w14:paraId="38488E5E" w14:textId="77777777" w:rsidR="00340D7A" w:rsidRDefault="00340D7A" w:rsidP="004B1A08">
      <w:pPr>
        <w:pStyle w:val="ListParagraph"/>
        <w:numPr>
          <w:ilvl w:val="0"/>
          <w:numId w:val="3"/>
        </w:numPr>
        <w:bidi/>
        <w:rPr>
          <w:rFonts w:asciiTheme="majorBidi" w:hAnsiTheme="majorBidi" w:cstheme="majorBidi"/>
          <w:sz w:val="28"/>
          <w:szCs w:val="28"/>
        </w:rPr>
      </w:pPr>
      <w:r w:rsidRPr="00457414">
        <w:rPr>
          <w:rFonts w:asciiTheme="majorBidi" w:hAnsiTheme="majorBidi" w:cstheme="majorBidi"/>
          <w:b/>
          <w:bCs/>
          <w:color w:val="C00000"/>
          <w:sz w:val="28"/>
          <w:szCs w:val="28"/>
          <w:rtl/>
        </w:rPr>
        <w:t>ومن هنا يتبيّن أن المشكلة ليست في قلّة الإجابات، بل في تجاوز الحدود</w:t>
      </w:r>
      <w:r w:rsidRPr="004B1A08">
        <w:rPr>
          <w:rFonts w:asciiTheme="majorBidi" w:hAnsiTheme="majorBidi" w:cstheme="majorBidi"/>
          <w:sz w:val="28"/>
          <w:szCs w:val="28"/>
        </w:rPr>
        <w:t xml:space="preserve">: </w:t>
      </w:r>
      <w:r w:rsidRPr="004B1A08">
        <w:rPr>
          <w:rFonts w:asciiTheme="majorBidi" w:hAnsiTheme="majorBidi" w:cstheme="majorBidi"/>
          <w:sz w:val="28"/>
          <w:szCs w:val="28"/>
          <w:rtl/>
        </w:rPr>
        <w:t>حدود العقل حين يُراد له ما لم يُخلق له، وحدود السؤال حين يتحوّل من طلب هداية إلى محاكمة، وحدود ما أُذن لنا أن نعرفه مما استأثر الله بعلمه وحكمته. فكثير من الاضطراب في الإيمان لا ينشأ من الجهل، بل من تعدّي هذه الحدود دون شعور</w:t>
      </w:r>
      <w:r w:rsidRPr="004B1A08">
        <w:rPr>
          <w:rFonts w:asciiTheme="majorBidi" w:hAnsiTheme="majorBidi" w:cstheme="majorBidi"/>
          <w:sz w:val="28"/>
          <w:szCs w:val="28"/>
        </w:rPr>
        <w:t>.</w:t>
      </w:r>
    </w:p>
    <w:p w14:paraId="61AB660D" w14:textId="77777777" w:rsidR="00502D5C" w:rsidRPr="004B1A08" w:rsidRDefault="00502D5C" w:rsidP="00502D5C">
      <w:pPr>
        <w:pStyle w:val="ListParagraph"/>
        <w:bidi/>
        <w:rPr>
          <w:rFonts w:asciiTheme="majorBidi" w:hAnsiTheme="majorBidi" w:cstheme="majorBidi"/>
          <w:sz w:val="28"/>
          <w:szCs w:val="28"/>
        </w:rPr>
      </w:pPr>
    </w:p>
    <w:p w14:paraId="78BEB1AE" w14:textId="77777777" w:rsidR="00457414" w:rsidRDefault="00340D7A" w:rsidP="004B1A08">
      <w:pPr>
        <w:pStyle w:val="ListParagraph"/>
        <w:numPr>
          <w:ilvl w:val="0"/>
          <w:numId w:val="3"/>
        </w:numPr>
        <w:bidi/>
        <w:rPr>
          <w:rFonts w:asciiTheme="majorBidi" w:hAnsiTheme="majorBidi" w:cstheme="majorBidi"/>
          <w:sz w:val="28"/>
          <w:szCs w:val="28"/>
        </w:rPr>
      </w:pPr>
      <w:r w:rsidRPr="00457414">
        <w:rPr>
          <w:rFonts w:asciiTheme="majorBidi" w:hAnsiTheme="majorBidi" w:cstheme="majorBidi"/>
          <w:b/>
          <w:bCs/>
          <w:color w:val="C00000"/>
          <w:sz w:val="28"/>
          <w:szCs w:val="28"/>
          <w:rtl/>
        </w:rPr>
        <w:t>والسؤال الأهم الذي ينبغي أن يرافق كل طالب علم</w:t>
      </w:r>
      <w:r w:rsidRPr="00457414">
        <w:rPr>
          <w:rFonts w:asciiTheme="majorBidi" w:hAnsiTheme="majorBidi" w:cstheme="majorBidi"/>
          <w:color w:val="C00000"/>
          <w:sz w:val="28"/>
          <w:szCs w:val="28"/>
        </w:rPr>
        <w:t>:</w:t>
      </w:r>
      <w:r w:rsidRPr="004B1A08">
        <w:rPr>
          <w:rFonts w:asciiTheme="majorBidi" w:hAnsiTheme="majorBidi" w:cstheme="majorBidi"/>
          <w:sz w:val="28"/>
          <w:szCs w:val="28"/>
        </w:rPr>
        <w:t xml:space="preserve"> </w:t>
      </w:r>
    </w:p>
    <w:p w14:paraId="44FD8838" w14:textId="55B5071D" w:rsidR="00E67E3B" w:rsidRDefault="00340D7A" w:rsidP="00457414">
      <w:pPr>
        <w:pStyle w:val="ListParagraph"/>
        <w:numPr>
          <w:ilvl w:val="0"/>
          <w:numId w:val="4"/>
        </w:numPr>
        <w:bidi/>
        <w:rPr>
          <w:rFonts w:asciiTheme="majorBidi" w:hAnsiTheme="majorBidi" w:cstheme="majorBidi"/>
          <w:sz w:val="28"/>
          <w:szCs w:val="28"/>
        </w:rPr>
      </w:pPr>
      <w:r w:rsidRPr="00D3042D">
        <w:rPr>
          <w:rFonts w:asciiTheme="majorBidi" w:hAnsiTheme="majorBidi" w:cstheme="majorBidi"/>
          <w:b/>
          <w:bCs/>
          <w:color w:val="80340D" w:themeColor="accent2" w:themeShade="80"/>
          <w:sz w:val="28"/>
          <w:szCs w:val="28"/>
          <w:rtl/>
        </w:rPr>
        <w:t>هل أطلب الفهم لأزداد عبودية وخشوعًا وتسليمًا، أم لأجعل العقل قاضيًا على الله وأقداره</w:t>
      </w:r>
      <w:r w:rsidR="00E67E3B" w:rsidRPr="00457414">
        <w:rPr>
          <w:rFonts w:asciiTheme="majorBidi" w:hAnsiTheme="majorBidi" w:cstheme="majorBidi"/>
          <w:sz w:val="28"/>
          <w:szCs w:val="28"/>
          <w:rtl/>
        </w:rPr>
        <w:t>؟؟؟؟؟؟</w:t>
      </w:r>
      <w:r w:rsidRPr="00457414">
        <w:rPr>
          <w:rFonts w:asciiTheme="majorBidi" w:hAnsiTheme="majorBidi" w:cstheme="majorBidi"/>
          <w:sz w:val="28"/>
          <w:szCs w:val="28"/>
          <w:rtl/>
        </w:rPr>
        <w:t xml:space="preserve"> </w:t>
      </w:r>
    </w:p>
    <w:p w14:paraId="528A7B32" w14:textId="7A2A54A0" w:rsidR="00340D7A" w:rsidRPr="00457414" w:rsidRDefault="00340D7A" w:rsidP="00E67E3B">
      <w:pPr>
        <w:pStyle w:val="ListParagraph"/>
        <w:numPr>
          <w:ilvl w:val="0"/>
          <w:numId w:val="4"/>
        </w:numPr>
        <w:bidi/>
        <w:rPr>
          <w:rFonts w:asciiTheme="majorBidi" w:hAnsiTheme="majorBidi" w:cstheme="majorBidi"/>
          <w:sz w:val="28"/>
          <w:szCs w:val="28"/>
        </w:rPr>
      </w:pPr>
      <w:r w:rsidRPr="00457414">
        <w:rPr>
          <w:rFonts w:asciiTheme="majorBidi" w:hAnsiTheme="majorBidi" w:cstheme="majorBidi"/>
          <w:sz w:val="28"/>
          <w:szCs w:val="28"/>
          <w:rtl/>
        </w:rPr>
        <w:t>فإن قادنا العلم إلى التواضع، وأوصلتنا الحكمة إلى السكينة، وأثمرت المعرفة تسليمًا لا اعتراضًا، فقد عرفنا أين نقف… قبل أن نُكمل الطريق</w:t>
      </w:r>
    </w:p>
    <w:p w14:paraId="5D4819A5" w14:textId="77777777" w:rsidR="00340D7A" w:rsidRPr="00340D7A" w:rsidRDefault="00340D7A" w:rsidP="00340D7A">
      <w:pPr>
        <w:bidi/>
        <w:rPr>
          <w:rFonts w:asciiTheme="majorBidi" w:hAnsiTheme="majorBidi" w:cstheme="majorBidi"/>
          <w:sz w:val="28"/>
          <w:szCs w:val="28"/>
        </w:rPr>
      </w:pPr>
    </w:p>
    <w:sectPr w:rsidR="00340D7A" w:rsidRPr="00340D7A" w:rsidSect="000E44F5">
      <w:pgSz w:w="11906" w:h="16838" w:code="9"/>
      <w:pgMar w:top="1440" w:right="1296" w:bottom="1296"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msoF4CE"/>
      </v:shape>
    </w:pict>
  </w:numPicBullet>
  <w:abstractNum w:abstractNumId="0" w15:restartNumberingAfterBreak="0">
    <w:nsid w:val="080968F1"/>
    <w:multiLevelType w:val="hybridMultilevel"/>
    <w:tmpl w:val="4F80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5196"/>
    <w:multiLevelType w:val="hybridMultilevel"/>
    <w:tmpl w:val="2B4C7842"/>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C77E92"/>
    <w:multiLevelType w:val="hybridMultilevel"/>
    <w:tmpl w:val="BB346F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BF60A1"/>
    <w:multiLevelType w:val="hybridMultilevel"/>
    <w:tmpl w:val="F134DF8A"/>
    <w:lvl w:ilvl="0" w:tplc="30C66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756702">
    <w:abstractNumId w:val="2"/>
  </w:num>
  <w:num w:numId="2" w16cid:durableId="449054933">
    <w:abstractNumId w:val="0"/>
  </w:num>
  <w:num w:numId="3" w16cid:durableId="591351483">
    <w:abstractNumId w:val="1"/>
  </w:num>
  <w:num w:numId="4" w16cid:durableId="1279291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5A"/>
    <w:rsid w:val="000E44F5"/>
    <w:rsid w:val="0012548B"/>
    <w:rsid w:val="00340D7A"/>
    <w:rsid w:val="00423664"/>
    <w:rsid w:val="00457414"/>
    <w:rsid w:val="004B1A08"/>
    <w:rsid w:val="004D3BCF"/>
    <w:rsid w:val="004E623C"/>
    <w:rsid w:val="00502D5C"/>
    <w:rsid w:val="00566C5A"/>
    <w:rsid w:val="00614BF8"/>
    <w:rsid w:val="00685887"/>
    <w:rsid w:val="00886CBF"/>
    <w:rsid w:val="00961A6C"/>
    <w:rsid w:val="00C822F7"/>
    <w:rsid w:val="00C83B12"/>
    <w:rsid w:val="00D3042D"/>
    <w:rsid w:val="00E67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0932"/>
  <w15:chartTrackingRefBased/>
  <w15:docId w15:val="{E284B374-B529-4F8D-9007-BAEEC1F7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C5A"/>
    <w:rPr>
      <w:rFonts w:eastAsiaTheme="majorEastAsia" w:cstheme="majorBidi"/>
      <w:color w:val="272727" w:themeColor="text1" w:themeTint="D8"/>
    </w:rPr>
  </w:style>
  <w:style w:type="paragraph" w:styleId="Title">
    <w:name w:val="Title"/>
    <w:basedOn w:val="Normal"/>
    <w:next w:val="Normal"/>
    <w:link w:val="TitleChar"/>
    <w:uiPriority w:val="10"/>
    <w:qFormat/>
    <w:rsid w:val="00566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C5A"/>
    <w:pPr>
      <w:spacing w:before="160"/>
      <w:jc w:val="center"/>
    </w:pPr>
    <w:rPr>
      <w:i/>
      <w:iCs/>
      <w:color w:val="404040" w:themeColor="text1" w:themeTint="BF"/>
    </w:rPr>
  </w:style>
  <w:style w:type="character" w:customStyle="1" w:styleId="QuoteChar">
    <w:name w:val="Quote Char"/>
    <w:basedOn w:val="DefaultParagraphFont"/>
    <w:link w:val="Quote"/>
    <w:uiPriority w:val="29"/>
    <w:rsid w:val="00566C5A"/>
    <w:rPr>
      <w:i/>
      <w:iCs/>
      <w:color w:val="404040" w:themeColor="text1" w:themeTint="BF"/>
    </w:rPr>
  </w:style>
  <w:style w:type="paragraph" w:styleId="ListParagraph">
    <w:name w:val="List Paragraph"/>
    <w:basedOn w:val="Normal"/>
    <w:uiPriority w:val="34"/>
    <w:qFormat/>
    <w:rsid w:val="00566C5A"/>
    <w:pPr>
      <w:ind w:left="720"/>
      <w:contextualSpacing/>
    </w:pPr>
  </w:style>
  <w:style w:type="character" w:styleId="IntenseEmphasis">
    <w:name w:val="Intense Emphasis"/>
    <w:basedOn w:val="DefaultParagraphFont"/>
    <w:uiPriority w:val="21"/>
    <w:qFormat/>
    <w:rsid w:val="00566C5A"/>
    <w:rPr>
      <w:i/>
      <w:iCs/>
      <w:color w:val="0F4761" w:themeColor="accent1" w:themeShade="BF"/>
    </w:rPr>
  </w:style>
  <w:style w:type="paragraph" w:styleId="IntenseQuote">
    <w:name w:val="Intense Quote"/>
    <w:basedOn w:val="Normal"/>
    <w:next w:val="Normal"/>
    <w:link w:val="IntenseQuoteChar"/>
    <w:uiPriority w:val="30"/>
    <w:qFormat/>
    <w:rsid w:val="00566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C5A"/>
    <w:rPr>
      <w:i/>
      <w:iCs/>
      <w:color w:val="0F4761" w:themeColor="accent1" w:themeShade="BF"/>
    </w:rPr>
  </w:style>
  <w:style w:type="character" w:styleId="IntenseReference">
    <w:name w:val="Intense Reference"/>
    <w:basedOn w:val="DefaultParagraphFont"/>
    <w:uiPriority w:val="32"/>
    <w:qFormat/>
    <w:rsid w:val="00566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526</Words>
  <Characters>2437</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Majali</dc:creator>
  <cp:keywords/>
  <dc:description/>
  <cp:lastModifiedBy>Hussein Majali</cp:lastModifiedBy>
  <cp:revision>11</cp:revision>
  <dcterms:created xsi:type="dcterms:W3CDTF">2026-01-21T22:17:00Z</dcterms:created>
  <dcterms:modified xsi:type="dcterms:W3CDTF">2026-01-21T22:39:00Z</dcterms:modified>
</cp:coreProperties>
</file>